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A" w:rsidRDefault="00F423EA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Консультация юриста</w:t>
      </w:r>
    </w:p>
    <w:p w:rsidR="00F423EA" w:rsidRPr="00F423EA" w:rsidRDefault="00F423EA" w:rsidP="00F423EA">
      <w:pPr>
        <w:ind w:right="1133"/>
        <w:jc w:val="both"/>
        <w:rPr>
          <w:rFonts w:ascii="Arial" w:hAnsi="Arial" w:cs="Arial"/>
          <w:b/>
          <w:sz w:val="28"/>
          <w:szCs w:val="28"/>
        </w:rPr>
      </w:pPr>
      <w:r w:rsidRPr="00F423EA">
        <w:rPr>
          <w:rFonts w:ascii="Arial" w:hAnsi="Arial" w:cs="Arial"/>
          <w:b/>
          <w:sz w:val="28"/>
          <w:szCs w:val="28"/>
        </w:rPr>
        <w:t xml:space="preserve">Работа в выходной – плюс к зарплате  </w:t>
      </w:r>
    </w:p>
    <w:p w:rsidR="00F423EA" w:rsidRDefault="00F423EA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A499F" w:rsidRPr="00F423EA" w:rsidRDefault="00535330" w:rsidP="00F423EA">
      <w:pPr>
        <w:ind w:right="1133"/>
        <w:jc w:val="both"/>
        <w:rPr>
          <w:rFonts w:ascii="Arial" w:hAnsi="Arial" w:cs="Arial"/>
          <w:b/>
          <w:sz w:val="28"/>
          <w:szCs w:val="28"/>
        </w:rPr>
      </w:pPr>
      <w:r w:rsidRPr="00F423EA">
        <w:rPr>
          <w:rFonts w:ascii="Arial" w:hAnsi="Arial" w:cs="Arial"/>
          <w:b/>
          <w:sz w:val="28"/>
          <w:szCs w:val="28"/>
        </w:rPr>
        <w:t>Как оплачивается и предоставляется другой выходной день за работу в выходной или нерабочий праздничный день</w:t>
      </w:r>
      <w:r w:rsidR="00F423EA" w:rsidRPr="00F423EA">
        <w:rPr>
          <w:rFonts w:ascii="Arial" w:hAnsi="Arial" w:cs="Arial"/>
          <w:b/>
          <w:sz w:val="28"/>
          <w:szCs w:val="28"/>
        </w:rPr>
        <w:t>? У нас е</w:t>
      </w:r>
      <w:r w:rsidR="00433407" w:rsidRPr="00F423EA">
        <w:rPr>
          <w:rFonts w:ascii="Arial" w:hAnsi="Arial" w:cs="Arial"/>
          <w:b/>
          <w:sz w:val="28"/>
          <w:szCs w:val="28"/>
        </w:rPr>
        <w:t>сли отрабатыв</w:t>
      </w:r>
      <w:r w:rsidRPr="00F423EA">
        <w:rPr>
          <w:rFonts w:ascii="Arial" w:hAnsi="Arial" w:cs="Arial"/>
          <w:b/>
          <w:sz w:val="28"/>
          <w:szCs w:val="28"/>
        </w:rPr>
        <w:t xml:space="preserve">ают </w:t>
      </w:r>
      <w:r w:rsidR="00F423EA" w:rsidRPr="00F423EA">
        <w:rPr>
          <w:rFonts w:ascii="Arial" w:hAnsi="Arial" w:cs="Arial"/>
          <w:b/>
          <w:sz w:val="28"/>
          <w:szCs w:val="28"/>
        </w:rPr>
        <w:t>восемь</w:t>
      </w:r>
      <w:r w:rsidRPr="00F423EA">
        <w:rPr>
          <w:rFonts w:ascii="Arial" w:hAnsi="Arial" w:cs="Arial"/>
          <w:b/>
          <w:sz w:val="28"/>
          <w:szCs w:val="28"/>
        </w:rPr>
        <w:t xml:space="preserve"> часов</w:t>
      </w:r>
      <w:r w:rsidR="00F423EA" w:rsidRPr="00F423EA">
        <w:rPr>
          <w:rFonts w:ascii="Arial" w:hAnsi="Arial" w:cs="Arial"/>
          <w:b/>
          <w:sz w:val="28"/>
          <w:szCs w:val="28"/>
        </w:rPr>
        <w:t xml:space="preserve">, </w:t>
      </w:r>
      <w:r w:rsidRPr="00F423EA">
        <w:rPr>
          <w:rFonts w:ascii="Arial" w:hAnsi="Arial" w:cs="Arial"/>
          <w:b/>
          <w:sz w:val="28"/>
          <w:szCs w:val="28"/>
        </w:rPr>
        <w:t>оплачивается</w:t>
      </w:r>
      <w:r w:rsidR="00F423EA" w:rsidRPr="00F423EA">
        <w:rPr>
          <w:rFonts w:ascii="Arial" w:hAnsi="Arial" w:cs="Arial"/>
          <w:b/>
          <w:sz w:val="28"/>
          <w:szCs w:val="28"/>
        </w:rPr>
        <w:t xml:space="preserve"> </w:t>
      </w:r>
      <w:r w:rsidRPr="00F423EA">
        <w:rPr>
          <w:rFonts w:ascii="Arial" w:hAnsi="Arial" w:cs="Arial"/>
          <w:b/>
          <w:sz w:val="28"/>
          <w:szCs w:val="28"/>
        </w:rPr>
        <w:t>день и</w:t>
      </w:r>
      <w:r w:rsidR="00F423EA" w:rsidRPr="00F423EA">
        <w:rPr>
          <w:rFonts w:ascii="Arial" w:hAnsi="Arial" w:cs="Arial"/>
          <w:b/>
          <w:sz w:val="28"/>
          <w:szCs w:val="28"/>
        </w:rPr>
        <w:t xml:space="preserve"> предоставляется </w:t>
      </w:r>
      <w:r w:rsidR="00433407" w:rsidRPr="00F423EA">
        <w:rPr>
          <w:rFonts w:ascii="Arial" w:hAnsi="Arial" w:cs="Arial"/>
          <w:b/>
          <w:sz w:val="28"/>
          <w:szCs w:val="28"/>
        </w:rPr>
        <w:t>неоплачиваемый отгул, если менее 8 часов</w:t>
      </w:r>
      <w:r w:rsidR="00F423EA" w:rsidRPr="00F423EA">
        <w:rPr>
          <w:rFonts w:ascii="Arial" w:hAnsi="Arial" w:cs="Arial"/>
          <w:b/>
          <w:sz w:val="28"/>
          <w:szCs w:val="28"/>
        </w:rPr>
        <w:t xml:space="preserve"> – </w:t>
      </w:r>
      <w:r w:rsidR="00433407" w:rsidRPr="00F423EA">
        <w:rPr>
          <w:rFonts w:ascii="Arial" w:hAnsi="Arial" w:cs="Arial"/>
          <w:b/>
          <w:sz w:val="28"/>
          <w:szCs w:val="28"/>
        </w:rPr>
        <w:t>т</w:t>
      </w:r>
      <w:r w:rsidRPr="00F423EA">
        <w:rPr>
          <w:rFonts w:ascii="Arial" w:hAnsi="Arial" w:cs="Arial"/>
          <w:b/>
          <w:sz w:val="28"/>
          <w:szCs w:val="28"/>
        </w:rPr>
        <w:t>о</w:t>
      </w:r>
      <w:r w:rsidR="00F423EA" w:rsidRPr="00F423EA">
        <w:rPr>
          <w:rFonts w:ascii="Arial" w:hAnsi="Arial" w:cs="Arial"/>
          <w:b/>
          <w:sz w:val="28"/>
          <w:szCs w:val="28"/>
        </w:rPr>
        <w:t xml:space="preserve"> </w:t>
      </w:r>
      <w:r w:rsidRPr="00F423EA">
        <w:rPr>
          <w:rFonts w:ascii="Arial" w:hAnsi="Arial" w:cs="Arial"/>
          <w:b/>
          <w:sz w:val="28"/>
          <w:szCs w:val="28"/>
        </w:rPr>
        <w:t>вообще ничего не оплачивается</w:t>
      </w:r>
      <w:r w:rsidR="00433407" w:rsidRPr="00F423EA">
        <w:rPr>
          <w:rFonts w:ascii="Arial" w:hAnsi="Arial" w:cs="Arial"/>
          <w:b/>
          <w:sz w:val="28"/>
          <w:szCs w:val="28"/>
        </w:rPr>
        <w:t xml:space="preserve"> и отгул не предоставляется</w:t>
      </w:r>
      <w:r w:rsidR="00F423EA" w:rsidRPr="00F423EA">
        <w:rPr>
          <w:rFonts w:ascii="Arial" w:hAnsi="Arial" w:cs="Arial"/>
          <w:b/>
          <w:sz w:val="28"/>
          <w:szCs w:val="28"/>
        </w:rPr>
        <w:t>.</w:t>
      </w:r>
    </w:p>
    <w:p w:rsidR="00F423EA" w:rsidRDefault="00F423EA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Н. В.</w:t>
      </w:r>
    </w:p>
    <w:p w:rsidR="00F423EA" w:rsidRDefault="00F423EA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Пермь.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Выполнение работы в нерабочий праздничный день является разновидностью работы в условиях, отклоняющихся от нормальных, в </w:t>
      </w:r>
      <w:proofErr w:type="gramStart"/>
      <w:r w:rsidRPr="00F423EA">
        <w:rPr>
          <w:rFonts w:ascii="Arial" w:hAnsi="Arial" w:cs="Arial"/>
          <w:sz w:val="28"/>
          <w:szCs w:val="28"/>
        </w:rPr>
        <w:t>связи</w:t>
      </w:r>
      <w:proofErr w:type="gramEnd"/>
      <w:r w:rsidRPr="00F423EA">
        <w:rPr>
          <w:rFonts w:ascii="Arial" w:hAnsi="Arial" w:cs="Arial"/>
          <w:sz w:val="28"/>
          <w:szCs w:val="28"/>
        </w:rPr>
        <w:t xml:space="preserve"> с чем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 </w:t>
      </w:r>
      <w:proofErr w:type="gramStart"/>
      <w:r w:rsidRPr="00F423EA">
        <w:rPr>
          <w:rFonts w:ascii="Arial" w:hAnsi="Arial" w:cs="Arial"/>
          <w:sz w:val="28"/>
          <w:szCs w:val="28"/>
        </w:rPr>
        <w:t>При этом 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 (</w:t>
      </w:r>
      <w:hyperlink r:id="rId5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статья 149</w:t>
        </w:r>
      </w:hyperlink>
      <w:r w:rsidRPr="00F423EA">
        <w:rPr>
          <w:rFonts w:ascii="Arial" w:hAnsi="Arial" w:cs="Arial"/>
          <w:sz w:val="28"/>
          <w:szCs w:val="28"/>
        </w:rPr>
        <w:t xml:space="preserve"> Т</w:t>
      </w:r>
      <w:r w:rsidR="00F423EA">
        <w:rPr>
          <w:rFonts w:ascii="Arial" w:hAnsi="Arial" w:cs="Arial"/>
          <w:sz w:val="28"/>
          <w:szCs w:val="28"/>
        </w:rPr>
        <w:t>рудового кодекса</w:t>
      </w:r>
      <w:r w:rsidRPr="00F423EA">
        <w:rPr>
          <w:rFonts w:ascii="Arial" w:hAnsi="Arial" w:cs="Arial"/>
          <w:sz w:val="28"/>
          <w:szCs w:val="28"/>
        </w:rPr>
        <w:t xml:space="preserve"> РФ).</w:t>
      </w:r>
      <w:proofErr w:type="gramEnd"/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Правила оплаты труда в нерабочие праздничные дни установлены </w:t>
      </w:r>
      <w:hyperlink r:id="rId6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статьей 153</w:t>
        </w:r>
      </w:hyperlink>
      <w:r w:rsidRPr="00F423EA">
        <w:rPr>
          <w:rFonts w:ascii="Arial" w:hAnsi="Arial" w:cs="Arial"/>
          <w:sz w:val="28"/>
          <w:szCs w:val="28"/>
        </w:rPr>
        <w:t xml:space="preserve"> ТК РФ.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В соответствии с </w:t>
      </w:r>
      <w:hyperlink r:id="rId7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частью </w:t>
        </w:r>
        <w:r w:rsidR="001B78DD"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1</w:t>
        </w:r>
      </w:hyperlink>
      <w:r w:rsidRPr="00F423EA">
        <w:rPr>
          <w:rFonts w:ascii="Arial" w:hAnsi="Arial" w:cs="Arial"/>
          <w:sz w:val="28"/>
          <w:szCs w:val="28"/>
        </w:rPr>
        <w:t xml:space="preserve"> указанной статьи работа в нерабочий праздничный день оплачивается не менее чем в двойном размере: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сдельщикам </w:t>
      </w:r>
      <w:r w:rsidR="00F423EA">
        <w:rPr>
          <w:rFonts w:ascii="Arial" w:hAnsi="Arial" w:cs="Arial"/>
          <w:sz w:val="28"/>
          <w:szCs w:val="28"/>
        </w:rPr>
        <w:t>–</w:t>
      </w:r>
      <w:r w:rsidRPr="00F423EA">
        <w:rPr>
          <w:rFonts w:ascii="Arial" w:hAnsi="Arial" w:cs="Arial"/>
          <w:sz w:val="28"/>
          <w:szCs w:val="28"/>
        </w:rPr>
        <w:t xml:space="preserve"> не</w:t>
      </w:r>
      <w:r w:rsidR="00F423EA">
        <w:rPr>
          <w:rFonts w:ascii="Arial" w:hAnsi="Arial" w:cs="Arial"/>
          <w:sz w:val="28"/>
          <w:szCs w:val="28"/>
        </w:rPr>
        <w:t xml:space="preserve"> </w:t>
      </w:r>
      <w:r w:rsidRPr="00F423EA">
        <w:rPr>
          <w:rFonts w:ascii="Arial" w:hAnsi="Arial" w:cs="Arial"/>
          <w:sz w:val="28"/>
          <w:szCs w:val="28"/>
        </w:rPr>
        <w:t>менее чем по двойным сдельным расценкам;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F423EA">
        <w:rPr>
          <w:rFonts w:ascii="Arial" w:hAnsi="Arial" w:cs="Arial"/>
          <w:sz w:val="28"/>
          <w:szCs w:val="28"/>
        </w:rPr>
        <w:t>менее двойной</w:t>
      </w:r>
      <w:proofErr w:type="gramEnd"/>
      <w:r w:rsidRPr="00F423EA">
        <w:rPr>
          <w:rFonts w:ascii="Arial" w:hAnsi="Arial" w:cs="Arial"/>
          <w:sz w:val="28"/>
          <w:szCs w:val="28"/>
        </w:rPr>
        <w:t xml:space="preserve"> дневной или часовой тарифной ставки;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proofErr w:type="gramStart"/>
      <w:r w:rsidRPr="00F423EA">
        <w:rPr>
          <w:rFonts w:ascii="Arial" w:hAnsi="Arial" w:cs="Arial"/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F423EA">
        <w:rPr>
          <w:rFonts w:ascii="Arial" w:hAnsi="Arial" w:cs="Arial"/>
          <w:sz w:val="28"/>
          <w:szCs w:val="28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</w:t>
      </w:r>
      <w:r w:rsidRPr="00F423EA">
        <w:rPr>
          <w:rFonts w:ascii="Arial" w:hAnsi="Arial" w:cs="Arial"/>
          <w:sz w:val="28"/>
          <w:szCs w:val="28"/>
        </w:rPr>
        <w:lastRenderedPageBreak/>
        <w:t>принимаемым с учетом мнения представительного органа работников, трудовым договором (</w:t>
      </w:r>
      <w:hyperlink r:id="rId8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часть </w:t>
        </w:r>
        <w:r w:rsidR="00FB236C"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2 </w:t>
        </w:r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статьи 153</w:t>
        </w:r>
      </w:hyperlink>
      <w:r w:rsidRPr="00F423EA">
        <w:rPr>
          <w:rFonts w:ascii="Arial" w:hAnsi="Arial" w:cs="Arial"/>
          <w:sz w:val="28"/>
          <w:szCs w:val="28"/>
        </w:rPr>
        <w:t xml:space="preserve"> ТК РФ).</w:t>
      </w:r>
    </w:p>
    <w:p w:rsidR="001B78DD" w:rsidRPr="00F423EA" w:rsidRDefault="001B78DD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Согласно части 3 статьи 153 ТК РФ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1B78DD" w:rsidRPr="00F423EA" w:rsidRDefault="001B78DD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Исходя из буквального прочтения статьи 153 ТК РФ, речь идет именно о дне отдыха, а не о пропорциональном предоставлении времени отдыха за работу в выходной день. Действующее законодательство не предусматривает зависимости продолжительности отдыха от продолжительности работы в выходной или нерабочий праздничный день. Таким образом, вне зависимости от количества отработанных в выходной день часов работнику </w:t>
      </w:r>
      <w:proofErr w:type="gramStart"/>
      <w:r w:rsidRPr="00F423EA">
        <w:rPr>
          <w:rFonts w:ascii="Arial" w:hAnsi="Arial" w:cs="Arial"/>
          <w:sz w:val="28"/>
          <w:szCs w:val="28"/>
        </w:rPr>
        <w:t>предоставляется полный день</w:t>
      </w:r>
      <w:proofErr w:type="gramEnd"/>
      <w:r w:rsidRPr="00F423EA">
        <w:rPr>
          <w:rFonts w:ascii="Arial" w:hAnsi="Arial" w:cs="Arial"/>
          <w:sz w:val="28"/>
          <w:szCs w:val="28"/>
        </w:rPr>
        <w:t xml:space="preserve"> отдыха. 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Оплата выходного дня в одинарном размере означает, что работнику, получающему оклад, сверх оклада выплачивается одинарная дневная ставка. Заработная плата (оклад) в том месяце, когда используется день отдыха, не уменьшается. При этом не имеет значения, берет ли работник день отдыха в текущем месяце или </w:t>
      </w:r>
      <w:proofErr w:type="gramStart"/>
      <w:r w:rsidRPr="00F423EA">
        <w:rPr>
          <w:rFonts w:ascii="Arial" w:hAnsi="Arial" w:cs="Arial"/>
          <w:sz w:val="28"/>
          <w:szCs w:val="28"/>
        </w:rPr>
        <w:t>в</w:t>
      </w:r>
      <w:proofErr w:type="gramEnd"/>
      <w:r w:rsidRPr="00F423EA">
        <w:rPr>
          <w:rFonts w:ascii="Arial" w:hAnsi="Arial" w:cs="Arial"/>
          <w:sz w:val="28"/>
          <w:szCs w:val="28"/>
        </w:rPr>
        <w:t xml:space="preserve"> последующие.</w:t>
      </w:r>
    </w:p>
    <w:p w:rsidR="002D0DF8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В отношении отдельных категорий работников порядок оплаты работы в нерабочие праздничные дни может определяться на основании коллективного договора, локального нормативного акта, трудового договора. К таким категориям </w:t>
      </w:r>
      <w:hyperlink r:id="rId9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часть четвертая статьи 153</w:t>
        </w:r>
      </w:hyperlink>
      <w:r w:rsidRPr="00F423EA">
        <w:rPr>
          <w:rFonts w:ascii="Arial" w:hAnsi="Arial" w:cs="Arial"/>
          <w:sz w:val="28"/>
          <w:szCs w:val="28"/>
        </w:rPr>
        <w:t xml:space="preserve"> ТК РФ относит творческих работников средств массовой информации, организаций кинематографии, тел</w:t>
      </w:r>
      <w:proofErr w:type="gramStart"/>
      <w:r w:rsidRPr="00F423EA">
        <w:rPr>
          <w:rFonts w:ascii="Arial" w:hAnsi="Arial" w:cs="Arial"/>
          <w:sz w:val="28"/>
          <w:szCs w:val="28"/>
        </w:rPr>
        <w:t>е-</w:t>
      </w:r>
      <w:proofErr w:type="gramEnd"/>
      <w:r w:rsidRPr="00F423E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423EA">
        <w:rPr>
          <w:rFonts w:ascii="Arial" w:hAnsi="Arial" w:cs="Arial"/>
          <w:sz w:val="28"/>
          <w:szCs w:val="28"/>
        </w:rPr>
        <w:t>видеосъемочных</w:t>
      </w:r>
      <w:proofErr w:type="spellEnd"/>
      <w:r w:rsidRPr="00F423EA">
        <w:rPr>
          <w:rFonts w:ascii="Arial" w:hAnsi="Arial" w:cs="Arial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</w:t>
      </w:r>
      <w:r w:rsidR="00F423EA">
        <w:rPr>
          <w:rFonts w:ascii="Arial" w:hAnsi="Arial" w:cs="Arial"/>
          <w:sz w:val="28"/>
          <w:szCs w:val="28"/>
        </w:rPr>
        <w:t>п</w:t>
      </w:r>
      <w:r w:rsidRPr="00F423EA">
        <w:rPr>
          <w:rFonts w:ascii="Arial" w:hAnsi="Arial" w:cs="Arial"/>
          <w:sz w:val="28"/>
          <w:szCs w:val="28"/>
        </w:rPr>
        <w:t xml:space="preserve">равительством Российской Федерации с учетом мнения Российской трехсторонней комиссии по регулированию социально-трудовых отношений. 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Кроме того, </w:t>
      </w:r>
      <w:hyperlink r:id="rId10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статья 290</w:t>
        </w:r>
      </w:hyperlink>
      <w:r w:rsidRPr="00F423EA">
        <w:rPr>
          <w:rFonts w:ascii="Arial" w:hAnsi="Arial" w:cs="Arial"/>
          <w:sz w:val="28"/>
          <w:szCs w:val="28"/>
        </w:rPr>
        <w:t xml:space="preserve"> ТК РФ устанавливает особенности оплаты труда в нерабочий праздничный день для работников, заключивших трудовой договор на срок до двух месяцев. Для них предусмотрена компенсация только в денежной форме </w:t>
      </w:r>
      <w:r w:rsidR="00F423EA">
        <w:rPr>
          <w:rFonts w:ascii="Arial" w:hAnsi="Arial" w:cs="Arial"/>
          <w:sz w:val="28"/>
          <w:szCs w:val="28"/>
        </w:rPr>
        <w:t>–</w:t>
      </w:r>
      <w:r w:rsidRPr="00F423EA">
        <w:rPr>
          <w:rFonts w:ascii="Arial" w:hAnsi="Arial" w:cs="Arial"/>
          <w:sz w:val="28"/>
          <w:szCs w:val="28"/>
        </w:rPr>
        <w:t xml:space="preserve"> не</w:t>
      </w:r>
      <w:r w:rsidR="00F423EA">
        <w:rPr>
          <w:rFonts w:ascii="Arial" w:hAnsi="Arial" w:cs="Arial"/>
          <w:sz w:val="28"/>
          <w:szCs w:val="28"/>
        </w:rPr>
        <w:t xml:space="preserve"> </w:t>
      </w:r>
      <w:r w:rsidRPr="00F423EA">
        <w:rPr>
          <w:rFonts w:ascii="Arial" w:hAnsi="Arial" w:cs="Arial"/>
          <w:sz w:val="28"/>
          <w:szCs w:val="28"/>
        </w:rPr>
        <w:t xml:space="preserve">менее чем в двойном размере. Таким образом, </w:t>
      </w:r>
      <w:hyperlink r:id="rId11" w:history="1">
        <w:r w:rsidR="00FB236C"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Трудовой</w:t>
        </w:r>
      </w:hyperlink>
      <w:r w:rsidR="00FB236C" w:rsidRPr="00F423EA">
        <w:rPr>
          <w:rFonts w:ascii="Arial" w:hAnsi="Arial" w:cs="Arial"/>
          <w:sz w:val="28"/>
          <w:szCs w:val="28"/>
        </w:rPr>
        <w:t xml:space="preserve"> кодекс</w:t>
      </w:r>
      <w:r w:rsidRPr="00F423EA">
        <w:rPr>
          <w:rFonts w:ascii="Arial" w:hAnsi="Arial" w:cs="Arial"/>
          <w:sz w:val="28"/>
          <w:szCs w:val="28"/>
        </w:rPr>
        <w:t xml:space="preserve"> РФ не предоставляет им права на получение дополнительного дня отдыха взамен повышенной оплаты.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 xml:space="preserve">Особо следует отметить, что гарантии, установленные </w:t>
      </w:r>
      <w:hyperlink r:id="rId12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статьей 153</w:t>
        </w:r>
      </w:hyperlink>
      <w:r w:rsidRPr="00F423EA">
        <w:rPr>
          <w:rFonts w:ascii="Arial" w:hAnsi="Arial" w:cs="Arial"/>
          <w:sz w:val="28"/>
          <w:szCs w:val="28"/>
        </w:rPr>
        <w:t xml:space="preserve"> ТК РФ, распространяются на всех работников независимо от режима рабочего времени (пятидневная рабочая неделя, сменная работа и т.д.).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lastRenderedPageBreak/>
        <w:t>Законодатель установил компенсации не только за работу, но и за выполнение социально значимых функций в нерабочие праздничные дни. В частности, в случае сдачи крови и ее компонентов в нерабочий праздничный день работнику по его желанию предоставляется другой день отдыха (</w:t>
      </w:r>
      <w:hyperlink r:id="rId13" w:history="1">
        <w:r w:rsidR="00FB236C"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часть 3</w:t>
        </w:r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статьи 186</w:t>
        </w:r>
      </w:hyperlink>
      <w:r w:rsidRPr="00F423EA">
        <w:rPr>
          <w:rFonts w:ascii="Arial" w:hAnsi="Arial" w:cs="Arial"/>
          <w:sz w:val="28"/>
          <w:szCs w:val="28"/>
        </w:rPr>
        <w:t xml:space="preserve"> ТК РФ). При этом работодатель сохраняет за работником его средний </w:t>
      </w:r>
      <w:r w:rsidR="00FB236C" w:rsidRPr="00F423EA">
        <w:rPr>
          <w:rFonts w:ascii="Arial" w:hAnsi="Arial" w:cs="Arial"/>
          <w:sz w:val="28"/>
          <w:szCs w:val="28"/>
        </w:rPr>
        <w:t>заработок,</w:t>
      </w:r>
      <w:r w:rsidRPr="00F423EA">
        <w:rPr>
          <w:rFonts w:ascii="Arial" w:hAnsi="Arial" w:cs="Arial"/>
          <w:sz w:val="28"/>
          <w:szCs w:val="28"/>
        </w:rPr>
        <w:t xml:space="preserve"> как за день сдачи, так и за предоставленные в связи с этим дни отдыха (</w:t>
      </w:r>
      <w:hyperlink r:id="rId14" w:history="1"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часть </w:t>
        </w:r>
        <w:r w:rsidR="00FB236C"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5</w:t>
        </w:r>
        <w:r w:rsidRPr="00F423E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статьи 186</w:t>
        </w:r>
      </w:hyperlink>
      <w:r w:rsidRPr="00F423EA">
        <w:rPr>
          <w:rFonts w:ascii="Arial" w:hAnsi="Arial" w:cs="Arial"/>
          <w:sz w:val="28"/>
          <w:szCs w:val="28"/>
        </w:rPr>
        <w:t xml:space="preserve"> ТК РФ).</w:t>
      </w:r>
    </w:p>
    <w:p w:rsidR="003949BC" w:rsidRPr="00F423EA" w:rsidRDefault="003949BC" w:rsidP="00F423EA">
      <w:pPr>
        <w:ind w:right="1133"/>
        <w:jc w:val="both"/>
        <w:rPr>
          <w:rFonts w:ascii="Arial" w:hAnsi="Arial" w:cs="Arial"/>
          <w:sz w:val="28"/>
          <w:szCs w:val="28"/>
        </w:rPr>
      </w:pPr>
    </w:p>
    <w:p w:rsidR="00204BDB" w:rsidRPr="00F423EA" w:rsidRDefault="00204BDB" w:rsidP="00F423EA">
      <w:pPr>
        <w:ind w:right="1133"/>
        <w:jc w:val="both"/>
        <w:rPr>
          <w:rFonts w:ascii="Arial" w:hAnsi="Arial" w:cs="Arial"/>
          <w:sz w:val="28"/>
          <w:szCs w:val="28"/>
        </w:rPr>
      </w:pPr>
    </w:p>
    <w:p w:rsidR="00204BDB" w:rsidRPr="00F423EA" w:rsidRDefault="00204BDB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 w:rsidRPr="00F423EA">
        <w:rPr>
          <w:rFonts w:ascii="Arial" w:hAnsi="Arial" w:cs="Arial"/>
          <w:sz w:val="28"/>
          <w:szCs w:val="28"/>
        </w:rPr>
        <w:t>Андрей М</w:t>
      </w:r>
      <w:r w:rsidR="00F423EA" w:rsidRPr="00F423EA">
        <w:rPr>
          <w:rFonts w:ascii="Arial" w:hAnsi="Arial" w:cs="Arial"/>
          <w:sz w:val="28"/>
          <w:szCs w:val="28"/>
        </w:rPr>
        <w:t>ИЗЮКИН</w:t>
      </w:r>
      <w:r w:rsidR="00F423EA">
        <w:rPr>
          <w:rFonts w:ascii="Arial" w:hAnsi="Arial" w:cs="Arial"/>
          <w:sz w:val="28"/>
          <w:szCs w:val="28"/>
        </w:rPr>
        <w:t>, з</w:t>
      </w:r>
      <w:r w:rsidRPr="00F423EA">
        <w:rPr>
          <w:rFonts w:ascii="Arial" w:hAnsi="Arial" w:cs="Arial"/>
          <w:sz w:val="28"/>
          <w:szCs w:val="28"/>
        </w:rPr>
        <w:t>аместитель заведующего отделом защиты прав трудящихся,</w:t>
      </w:r>
    </w:p>
    <w:p w:rsidR="00204BDB" w:rsidRPr="00F423EA" w:rsidRDefault="00F423EA" w:rsidP="00F423EA">
      <w:pPr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204BDB" w:rsidRPr="00F423EA">
        <w:rPr>
          <w:rFonts w:ascii="Arial" w:hAnsi="Arial" w:cs="Arial"/>
          <w:sz w:val="28"/>
          <w:szCs w:val="28"/>
        </w:rPr>
        <w:t xml:space="preserve">лавный правовой инспектор труда Пермского </w:t>
      </w:r>
      <w:proofErr w:type="spellStart"/>
      <w:r w:rsidR="00204BDB" w:rsidRPr="00F423EA">
        <w:rPr>
          <w:rFonts w:ascii="Arial" w:hAnsi="Arial" w:cs="Arial"/>
          <w:sz w:val="28"/>
          <w:szCs w:val="28"/>
        </w:rPr>
        <w:t>крайсовпрофа</w:t>
      </w:r>
      <w:proofErr w:type="spellEnd"/>
    </w:p>
    <w:p w:rsidR="0065340B" w:rsidRPr="00F423EA" w:rsidRDefault="0065340B" w:rsidP="00F423EA">
      <w:pPr>
        <w:ind w:right="1133"/>
        <w:jc w:val="both"/>
        <w:rPr>
          <w:rFonts w:ascii="Arial" w:hAnsi="Arial" w:cs="Arial"/>
          <w:sz w:val="28"/>
          <w:szCs w:val="28"/>
        </w:rPr>
      </w:pPr>
    </w:p>
    <w:sectPr w:rsidR="0065340B" w:rsidRPr="00F423EA" w:rsidSect="006612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D3"/>
    <w:rsid w:val="000B1299"/>
    <w:rsid w:val="001946B5"/>
    <w:rsid w:val="001B78DD"/>
    <w:rsid w:val="00204BDB"/>
    <w:rsid w:val="0022566A"/>
    <w:rsid w:val="002D0DF8"/>
    <w:rsid w:val="002D5403"/>
    <w:rsid w:val="003949BC"/>
    <w:rsid w:val="00433407"/>
    <w:rsid w:val="004503EF"/>
    <w:rsid w:val="00533127"/>
    <w:rsid w:val="00535330"/>
    <w:rsid w:val="0065340B"/>
    <w:rsid w:val="00661266"/>
    <w:rsid w:val="006C75D3"/>
    <w:rsid w:val="009355B2"/>
    <w:rsid w:val="009A499F"/>
    <w:rsid w:val="00AB645A"/>
    <w:rsid w:val="00D82604"/>
    <w:rsid w:val="00EB695C"/>
    <w:rsid w:val="00F423EA"/>
    <w:rsid w:val="00FB236C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3949BC"/>
    <w:rPr>
      <w:color w:val="0000FF" w:themeColor="hyperlink"/>
      <w:u w:val="single"/>
    </w:rPr>
  </w:style>
  <w:style w:type="paragraph" w:styleId="a4">
    <w:name w:val="No Spacing"/>
    <w:uiPriority w:val="1"/>
    <w:qFormat/>
    <w:rsid w:val="003949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3949BC"/>
    <w:rPr>
      <w:color w:val="0000FF" w:themeColor="hyperlink"/>
      <w:u w:val="single"/>
    </w:rPr>
  </w:style>
  <w:style w:type="paragraph" w:styleId="a4">
    <w:name w:val="No Spacing"/>
    <w:uiPriority w:val="1"/>
    <w:qFormat/>
    <w:rsid w:val="003949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52473731E8CED315EDB0CE36260A7B90C156007BF382B18F97DD31DA355A9A69042A64BC6rAH" TargetMode="External"/><Relationship Id="rId13" Type="http://schemas.openxmlformats.org/officeDocument/2006/relationships/hyperlink" Target="consultantplus://offline/ref=E9252473731E8CED315EDB0CE36260A7B90C156007BF382B18F97DD31DA355A9A69042A0496B9D05CF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52473731E8CED315EDB0CE36260A7B90C156007BF382B18F97DD31DA355A9A69042A648C6rCH" TargetMode="External"/><Relationship Id="rId12" Type="http://schemas.openxmlformats.org/officeDocument/2006/relationships/hyperlink" Target="consultantplus://offline/ref=E9252473731E8CED315EDB0CE36260A7B90C156007BF382B18F97DD31DA355A9A69042A648C6rF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52473731E8CED315EDB0CE36260A7B90C156007BF382B18F97DD31DA355A9A69042A648C6rFH" TargetMode="External"/><Relationship Id="rId11" Type="http://schemas.openxmlformats.org/officeDocument/2006/relationships/hyperlink" Target="consultantplus://offline/ref=E9252473731E8CED315EDB0CE36260A7B90C156007BF382B18F97DD31DCAr3H" TargetMode="External"/><Relationship Id="rId5" Type="http://schemas.openxmlformats.org/officeDocument/2006/relationships/hyperlink" Target="consultantplus://offline/ref=E9252473731E8CED315EDB0CE36260A7B90C156007BF382B18F97DD31DA355A9A69042A649C6r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52473731E8CED315EDB0CE36260A7B90C156007BF382B18F97DD31DA355A9A69042A0496B9B01CF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52473731E8CED315EDB0CE36260A7B90C156007BF382B18F97DD31DA355A9A69042A04D6DC9rAH" TargetMode="External"/><Relationship Id="rId14" Type="http://schemas.openxmlformats.org/officeDocument/2006/relationships/hyperlink" Target="consultantplus://offline/ref=E9252473731E8CED315EDB0CE36260A7B90C156007BF382B18F97DD31DA355A9A69042A0C4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20</cp:revision>
  <cp:lastPrinted>2016-01-20T07:22:00Z</cp:lastPrinted>
  <dcterms:created xsi:type="dcterms:W3CDTF">2016-01-19T10:50:00Z</dcterms:created>
  <dcterms:modified xsi:type="dcterms:W3CDTF">2016-03-14T09:52:00Z</dcterms:modified>
</cp:coreProperties>
</file>